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sz w:val="44"/>
          <w:szCs w:val="44"/>
          <w:lang w:val="en-US" w:eastAsia="zh-CN"/>
        </w:rPr>
      </w:pPr>
    </w:p>
    <w:p>
      <w:pPr>
        <w:pStyle w:val="2"/>
        <w:bidi w:val="0"/>
        <w:ind w:left="0" w:leftChars="0" w:firstLine="0" w:firstLineChars="0"/>
        <w:jc w:val="center"/>
        <w:rPr>
          <w:rFonts w:hint="eastAsia"/>
          <w:sz w:val="44"/>
          <w:szCs w:val="44"/>
          <w:lang w:val="en-US" w:eastAsia="zh-CN"/>
        </w:rPr>
      </w:pPr>
      <w:bookmarkStart w:id="0" w:name="_Toc14094"/>
      <w:r>
        <w:rPr>
          <w:rFonts w:hint="eastAsia"/>
          <w:sz w:val="44"/>
          <w:szCs w:val="44"/>
          <w:lang w:val="en-US" w:eastAsia="zh-CN"/>
        </w:rPr>
        <w:t>鄂州跨境电商线上综合服务平台</w:t>
      </w:r>
      <w:bookmarkEnd w:id="0"/>
    </w:p>
    <w:p>
      <w:pPr>
        <w:pStyle w:val="2"/>
        <w:bidi w:val="0"/>
        <w:ind w:left="0" w:leftChars="0" w:firstLine="0" w:firstLineChars="0"/>
        <w:jc w:val="center"/>
        <w:rPr>
          <w:rFonts w:hint="eastAsia"/>
          <w:sz w:val="44"/>
          <w:szCs w:val="44"/>
          <w:lang w:val="en-US" w:eastAsia="zh-CN"/>
        </w:rPr>
      </w:pPr>
      <w:bookmarkStart w:id="1" w:name="_Toc1281"/>
      <w:r>
        <w:rPr>
          <w:rFonts w:hint="eastAsia"/>
          <w:sz w:val="44"/>
          <w:szCs w:val="44"/>
          <w:lang w:val="en-US" w:eastAsia="zh-CN"/>
        </w:rPr>
        <w:t>产业选品撮合子平台</w:t>
      </w:r>
      <w:bookmarkEnd w:id="1"/>
    </w:p>
    <w:p>
      <w:pPr>
        <w:pStyle w:val="2"/>
        <w:bidi w:val="0"/>
        <w:ind w:left="0" w:leftChars="0" w:firstLine="0" w:firstLineChars="0"/>
        <w:jc w:val="center"/>
        <w:rPr>
          <w:rFonts w:hint="eastAsia"/>
          <w:sz w:val="44"/>
          <w:szCs w:val="44"/>
          <w:lang w:val="en-US" w:eastAsia="zh-CN"/>
        </w:rPr>
      </w:pPr>
      <w:bookmarkStart w:id="2" w:name="_Toc7285"/>
      <w:r>
        <w:rPr>
          <w:rFonts w:hint="eastAsia"/>
          <w:sz w:val="44"/>
          <w:szCs w:val="44"/>
          <w:lang w:val="en-US" w:eastAsia="zh-CN"/>
        </w:rPr>
        <w:t>用户操作指南</w:t>
      </w:r>
      <w:bookmarkEnd w:id="2"/>
    </w:p>
    <w:p>
      <w:pPr>
        <w:rPr>
          <w:rFonts w:hint="eastAsia"/>
          <w:sz w:val="44"/>
          <w:szCs w:val="44"/>
          <w:lang w:val="en-US" w:eastAsia="zh-CN"/>
        </w:rPr>
      </w:pPr>
    </w:p>
    <w:p>
      <w:pPr>
        <w:rPr>
          <w:rFonts w:hint="eastAsia"/>
          <w:sz w:val="44"/>
          <w:szCs w:val="44"/>
          <w:lang w:val="en-US" w:eastAsia="zh-CN"/>
        </w:rPr>
      </w:pPr>
    </w:p>
    <w:p>
      <w:pPr>
        <w:rPr>
          <w:rFonts w:hint="eastAsia"/>
          <w:sz w:val="44"/>
          <w:szCs w:val="44"/>
          <w:lang w:val="en-US" w:eastAsia="zh-CN"/>
        </w:rPr>
      </w:pPr>
    </w:p>
    <w:p>
      <w:pPr>
        <w:rPr>
          <w:rFonts w:hint="eastAsia"/>
          <w:sz w:val="44"/>
          <w:szCs w:val="44"/>
          <w:lang w:val="en-US" w:eastAsia="zh-CN"/>
        </w:rPr>
      </w:pPr>
    </w:p>
    <w:p>
      <w:pPr>
        <w:rPr>
          <w:rFonts w:hint="eastAsia"/>
          <w:sz w:val="44"/>
          <w:szCs w:val="44"/>
          <w:lang w:val="en-US" w:eastAsia="zh-CN"/>
        </w:rPr>
      </w:pPr>
    </w:p>
    <w:p>
      <w:pPr>
        <w:ind w:left="0" w:leftChars="0" w:firstLine="0" w:firstLineChars="0"/>
        <w:rPr>
          <w:rFonts w:hint="eastAsia"/>
          <w:sz w:val="44"/>
          <w:szCs w:val="44"/>
          <w:lang w:val="en-US" w:eastAsia="zh-CN"/>
        </w:rPr>
      </w:pPr>
    </w:p>
    <w:p>
      <w:pPr>
        <w:ind w:left="0" w:leftChars="0" w:firstLine="0" w:firstLineChars="0"/>
        <w:rPr>
          <w:rFonts w:hint="eastAsia"/>
          <w:sz w:val="44"/>
          <w:szCs w:val="44"/>
          <w:lang w:val="en-US" w:eastAsia="zh-CN"/>
        </w:rPr>
      </w:pPr>
    </w:p>
    <w:p>
      <w:pPr>
        <w:ind w:left="0" w:leftChars="0" w:firstLine="0" w:firstLineChars="0"/>
        <w:rPr>
          <w:rFonts w:hint="eastAsia"/>
          <w:sz w:val="44"/>
          <w:szCs w:val="44"/>
          <w:lang w:val="en-US" w:eastAsia="zh-CN"/>
        </w:rPr>
      </w:pPr>
    </w:p>
    <w:p>
      <w:pPr>
        <w:rPr>
          <w:rFonts w:hint="eastAsia"/>
          <w:sz w:val="44"/>
          <w:szCs w:val="44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版本：V1.0</w:t>
      </w:r>
    </w:p>
    <w:p>
      <w:pPr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2026年1月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6105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Ascii" w:hAnsiTheme="minorAscii" w:eastAsiaTheme="minorEastAsia" w:cstheme="minorBidi"/>
          <w:b/>
          <w:kern w:val="2"/>
          <w:sz w:val="28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Style w:val="12"/>
            </w:rPr>
            <w:t>目录</w:t>
          </w:r>
        </w:p>
        <w:p>
          <w:pPr>
            <w:pStyle w:val="10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TOC \o "1-2" \h \u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instrText xml:space="preserve"> HYPERLINK \l _Toc14094 </w:instrText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鄂州跨境电商线上综合服务平台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_Toc14094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1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instrText xml:space="preserve"> HYPERLINK \l _Toc1281 </w:instrText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产业选品撮合子平台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_Toc1281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1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instrText xml:space="preserve"> HYPERLINK \l _Toc7285 </w:instrText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用户操作指南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_Toc7285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1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instrText xml:space="preserve"> HYPERLINK \l _Toc20641 </w:instrText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一、 平台角色说明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_Toc20641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3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instrText xml:space="preserve"> HYPERLINK \l _Toc2352 </w:instrText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二、 平台开户流程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_Toc2352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3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_Toc21049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（一）用户注册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_Toc21049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_Toc12165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（二）权限申请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_Toc12165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instrText xml:space="preserve"> HYPERLINK \l _Toc5765 </w:instrText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三、 客商企业操作说明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_Toc5765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5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_Toc24699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（一）我的购物车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_Toc24699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_Toc7913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（二）进货单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_Toc7913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_Toc793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（三）我的询盘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_Toc793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instrText xml:space="preserve"> HYPERLINK \l _Toc23248 </w:instrText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四、 供应商企业操作说明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_Toc23248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7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_Toc24267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（一）数据</w:t>
          </w:r>
          <w:r>
            <w:rPr>
              <w:rFonts w:hint="default"/>
              <w:sz w:val="28"/>
              <w:szCs w:val="28"/>
              <w:lang w:val="en-US" w:eastAsia="zh-CN"/>
            </w:rPr>
            <w:t>看板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_Toc24267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_Toc10663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（二）商品</w:t>
          </w:r>
          <w:r>
            <w:rPr>
              <w:rFonts w:hint="default"/>
              <w:sz w:val="28"/>
              <w:szCs w:val="28"/>
              <w:lang w:val="en-US" w:eastAsia="zh-CN"/>
            </w:rPr>
            <w:t>管理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_Toc10663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_Toc7191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（三）批量导入管理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_Toc7191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10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/>
              <w:sz w:val="28"/>
              <w:szCs w:val="28"/>
              <w:lang w:val="en-US" w:eastAsia="zh-CN"/>
            </w:rPr>
            <w:instrText xml:space="preserve"> HYPERLINK \l _Toc1392 </w:instrText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（四）厂商管理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_Toc1392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/>
              <w:sz w:val="28"/>
              <w:szCs w:val="28"/>
              <w:lang w:val="en-US" w:eastAsia="zh-CN"/>
            </w:rPr>
            <w:fldChar w:fldCharType="end"/>
          </w:r>
        </w:p>
        <w:p>
          <w:pPr>
            <w:rPr>
              <w:rFonts w:hint="eastAsia"/>
              <w:lang w:val="en-US" w:eastAsia="zh-CN"/>
            </w:rPr>
          </w:pPr>
          <w:r>
            <w:rPr>
              <w:rFonts w:hint="eastAsia"/>
              <w:b/>
              <w:lang w:val="en-US" w:eastAsia="zh-CN"/>
            </w:rPr>
            <w:fldChar w:fldCharType="end"/>
          </w:r>
        </w:p>
      </w:sdtContent>
    </w:sdt>
    <w:p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3" w:name="_Toc20641"/>
    </w:p>
    <w:p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平台角色说明</w:t>
      </w:r>
      <w:bookmarkEnd w:id="3"/>
    </w:p>
    <w:tbl>
      <w:tblPr>
        <w:tblStyle w:val="8"/>
        <w:tblW w:w="522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372"/>
        <w:gridCol w:w="1830"/>
        <w:gridCol w:w="29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Segoe UI" w:hAnsi="Segoe UI" w:eastAsia="宋体" w:cs="Segoe U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角色类型</w:t>
            </w:r>
          </w:p>
        </w:tc>
        <w:tc>
          <w:tcPr>
            <w:tcW w:w="1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Segoe UI" w:hAnsi="Segoe UI" w:eastAsia="宋体" w:cs="Segoe U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用户来源</w:t>
            </w: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Segoe UI" w:hAnsi="Segoe UI" w:eastAsia="宋体" w:cs="Segoe U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数据权限范围</w:t>
            </w:r>
          </w:p>
        </w:tc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Segoe UI" w:hAnsi="Segoe UI" w:eastAsia="宋体" w:cs="Segoe U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主要业务操作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客商企业用户</w:t>
            </w:r>
          </w:p>
        </w:tc>
        <w:tc>
          <w:tcPr>
            <w:tcW w:w="1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var(--yb-font-body-medium)" w:hAnsi="var(--yb-font-body-medium)" w:eastAsia="var(--yb-font-body-medium)" w:cs="var(--yb-font-body-medium)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门户网站提交资料进行注册</w:t>
            </w: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企业自有业务数据</w:t>
            </w:r>
          </w:p>
        </w:tc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进行选品并向供应商发起询盘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var(--yb-font-body-medium)" w:hAnsi="var(--yb-font-body-medium)" w:eastAsia="宋体" w:cs="var(--yb-font-body-medium)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供应商企业用户</w:t>
            </w:r>
          </w:p>
        </w:tc>
        <w:tc>
          <w:tcPr>
            <w:tcW w:w="1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门户网站提交资料进行注册，并通过申请成为供应商</w:t>
            </w: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企业自有业务数据</w:t>
            </w:r>
          </w:p>
        </w:tc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发布商品并接受客商询盘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县市区管理员</w:t>
            </w:r>
          </w:p>
        </w:tc>
        <w:tc>
          <w:tcPr>
            <w:tcW w:w="1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由平台管理员进行创建</w:t>
            </w: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所属县市区内企业的业务数据</w:t>
            </w:r>
          </w:p>
        </w:tc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审核商品，对所属县市区的供应商及商品进行管理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平台管理员</w:t>
            </w:r>
          </w:p>
        </w:tc>
        <w:tc>
          <w:tcPr>
            <w:tcW w:w="1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var(--yb-font-body-medium)" w:hAnsi="var(--yb-font-body-medium)" w:eastAsia="宋体" w:cs="var(--yb-font-body-medium)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系统创建的总管理员</w:t>
            </w: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ascii="var(--yb-font-body-medium)" w:hAnsi="var(--yb-font-body-medium)" w:eastAsia="var(--yb-font-body-medium)" w:cs="var(--yb-font-body-medium)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var(--yb-font-body-medium)" w:hAnsi="var(--yb-font-body-medium)" w:eastAsia="var(--yb-font-body-medium)" w:cs="var(--yb-font-body-medium)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全平台</w:t>
            </w:r>
            <w:r>
              <w:rPr>
                <w:rFonts w:hint="eastAsia" w:ascii="var(--yb-font-body-medium)" w:hAnsi="var(--yb-font-body-medium)" w:eastAsia="var(--yb-font-body-medium)" w:cs="var(--yb-font-body-medium)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</w:t>
            </w:r>
            <w:r>
              <w:rPr>
                <w:rFonts w:hint="default" w:ascii="var(--yb-font-body-medium)" w:hAnsi="var(--yb-font-body-medium)" w:eastAsia="var(--yb-font-body-medium)" w:cs="var(--yb-font-body-medium)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</w:t>
            </w:r>
          </w:p>
        </w:tc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ascii="var(--yb-font-body-medium)" w:hAnsi="var(--yb-font-body-medium)" w:eastAsia="var(--yb-font-body-medium)" w:cs="var(--yb-font-body-medium)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var(--yb-font-body-medium)" w:hAnsi="var(--yb-font-body-medium)" w:eastAsia="var(--yb-font-body-medium)" w:cs="var(--yb-font-body-medium)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用户注册审核及授权、供应商及商品管理等平台运维管理工作</w:t>
            </w:r>
          </w:p>
        </w:tc>
      </w:tr>
    </w:tbl>
    <w:p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bookmarkStart w:id="4" w:name="_Toc2352"/>
      <w:r>
        <w:rPr>
          <w:rFonts w:hint="eastAsia"/>
          <w:lang w:val="en-US" w:eastAsia="zh-CN"/>
        </w:rPr>
        <w:t>平台开户流程</w:t>
      </w:r>
      <w:bookmarkEnd w:id="4"/>
    </w:p>
    <w:p>
      <w:pPr>
        <w:pStyle w:val="3"/>
        <w:numPr>
          <w:ilvl w:val="0"/>
          <w:numId w:val="0"/>
        </w:numPr>
        <w:bidi w:val="0"/>
        <w:rPr>
          <w:rFonts w:hint="eastAsia"/>
          <w:lang w:val="en-US" w:eastAsia="zh-CN"/>
        </w:rPr>
      </w:pPr>
      <w:bookmarkStart w:id="5" w:name="_Toc21049"/>
      <w:r>
        <w:rPr>
          <w:rFonts w:hint="eastAsia"/>
          <w:lang w:val="en-US" w:eastAsia="zh-CN"/>
        </w:rPr>
        <w:t>（一）用户注册</w:t>
      </w:r>
      <w:bookmarkEnd w:id="5"/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在门户网站首页点击“注册”按钮，进入用户注册页面，根据页面要求填写企业资料后提交注册，待平台管理员进行审核。审核通过后，用户成为平台的客商企业用户，可使用账号密码登录平台。</w:t>
      </w: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1739265"/>
            <wp:effectExtent l="0" t="0" r="7620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69865" cy="2547620"/>
            <wp:effectExtent l="0" t="0" r="3175" b="1270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b/>
          <w:lang w:val="en-US" w:eastAsia="zh-CN"/>
        </w:rPr>
      </w:pPr>
      <w:bookmarkStart w:id="6" w:name="_Toc12165"/>
      <w:r>
        <w:rPr>
          <w:rFonts w:hint="eastAsia"/>
          <w:b/>
          <w:lang w:val="en-US" w:eastAsia="zh-CN"/>
        </w:rPr>
        <w:t>（二）权限申请</w:t>
      </w:r>
      <w:bookmarkEnd w:id="6"/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为平台的客商企业用户后，若企业要入驻平台成为供应商或服务商，则需进一步申请权限。企业在“用户中心-权限申请管理”中提交相关资料，由平台管理员对资料进行审核。审核通过后，用户成为平台的供应商企业用户。</w:t>
      </w:r>
    </w:p>
    <w:p>
      <w:pPr>
        <w:bidi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*平台上线初期，为便捷供应商企业入驻及操作，也可由平台管理员直接对注册企业进行授权操作，无需企业发起权限申请。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bookmarkStart w:id="7" w:name="_Toc5765"/>
      <w:r>
        <w:rPr>
          <w:rFonts w:hint="eastAsia"/>
          <w:lang w:val="en-US" w:eastAsia="zh-CN"/>
        </w:rPr>
        <w:t>客商企业操作说明</w:t>
      </w:r>
      <w:bookmarkEnd w:id="7"/>
    </w:p>
    <w:p>
      <w:pPr>
        <w:pStyle w:val="3"/>
        <w:numPr>
          <w:ilvl w:val="0"/>
          <w:numId w:val="0"/>
        </w:numPr>
        <w:bidi w:val="0"/>
        <w:ind w:leftChars="200"/>
        <w:rPr>
          <w:rFonts w:hint="default"/>
          <w:lang w:val="en-US" w:eastAsia="zh-CN"/>
        </w:rPr>
      </w:pPr>
      <w:bookmarkStart w:id="8" w:name="_Toc24699"/>
      <w:r>
        <w:rPr>
          <w:rFonts w:hint="eastAsia"/>
          <w:lang w:val="en-US" w:eastAsia="zh-CN"/>
        </w:rPr>
        <w:t>（一）我的购物车</w:t>
      </w:r>
      <w:bookmarkEnd w:id="8"/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客商企业用户登录产业选品撮合子平台，浏览鄂州优选商品，可根据需要选择商品加入购物车。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73040" cy="3399790"/>
            <wp:effectExtent l="0" t="0" r="0" b="139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bidi w:val="0"/>
        <w:ind w:leftChars="200"/>
        <w:rPr>
          <w:rFonts w:hint="eastAsia"/>
          <w:lang w:val="en-US" w:eastAsia="zh-CN"/>
        </w:rPr>
      </w:pPr>
      <w:bookmarkStart w:id="9" w:name="_Toc7913"/>
      <w:r>
        <w:rPr>
          <w:rFonts w:hint="eastAsia"/>
          <w:lang w:val="en-US" w:eastAsia="zh-CN"/>
        </w:rPr>
        <w:t>（二）进货单</w:t>
      </w:r>
      <w:bookmarkEnd w:id="9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客商企业用户可通过点击“我的购物车”或“买家中心”，进入进货单页面，查看已添加的商品。支持对进货单中的商品的规格属性、数量进行编辑或删除商品。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客商企业用户可选中进货单中的商品，通过点击“发送询盘”，补充联系人信息，将该商品的询盘信息发送至对应的供应商企业。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68595" cy="3595370"/>
            <wp:effectExtent l="0" t="0" r="4445" b="127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bidi w:val="0"/>
        <w:ind w:leftChars="200"/>
        <w:rPr>
          <w:rFonts w:hint="default"/>
          <w:lang w:val="en-US" w:eastAsia="zh-CN"/>
        </w:rPr>
      </w:pPr>
      <w:bookmarkStart w:id="10" w:name="_Toc793"/>
      <w:r>
        <w:rPr>
          <w:rFonts w:hint="eastAsia"/>
          <w:lang w:val="en-US" w:eastAsia="zh-CN"/>
        </w:rPr>
        <w:t>（三）我的询盘</w:t>
      </w:r>
      <w:bookmarkEnd w:id="10"/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客商企业已发送的询盘信息可在“我的询盘”中进行查看。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跟进：客商企业用户可编辑跟进信息发送给到供应商。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查看详情：查看询盘详细信息，包括供应商名称、商品名称、规格属性、单价、数量等信息。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撮合记录：点击可查看询盘跟进的过程日志，包括供应商的跟进回复、客商的跟进询盘等双方提交的信息及内容。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结束询盘：客商企业用户可选中询盘记录单据进行关闭，关闭后的询盘记录将不再支持操作。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3519170"/>
            <wp:effectExtent l="0" t="0" r="3175" b="127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bookmarkStart w:id="11" w:name="_Toc23248"/>
      <w:r>
        <w:rPr>
          <w:rFonts w:hint="eastAsia"/>
          <w:lang w:val="en-US" w:eastAsia="zh-CN"/>
        </w:rPr>
        <w:t>供应商企业操作说明</w:t>
      </w:r>
      <w:bookmarkEnd w:id="11"/>
    </w:p>
    <w:p>
      <w:pPr>
        <w:pStyle w:val="3"/>
        <w:numPr>
          <w:ilvl w:val="0"/>
          <w:numId w:val="0"/>
        </w:numPr>
        <w:bidi w:val="0"/>
        <w:ind w:leftChars="200"/>
        <w:rPr>
          <w:rFonts w:hint="default"/>
          <w:lang w:val="en-US" w:eastAsia="zh-CN"/>
        </w:rPr>
      </w:pPr>
      <w:bookmarkStart w:id="12" w:name="_Toc24267"/>
      <w:r>
        <w:rPr>
          <w:rFonts w:hint="eastAsia"/>
          <w:lang w:val="en-US" w:eastAsia="zh-CN"/>
        </w:rPr>
        <w:t>（一）数据</w:t>
      </w:r>
      <w:r>
        <w:rPr>
          <w:rFonts w:hint="default"/>
          <w:lang w:val="en-US" w:eastAsia="zh-CN"/>
        </w:rPr>
        <w:t>看板</w:t>
      </w:r>
      <w:bookmarkEnd w:id="12"/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供应商企业登录平台后，可通过点击“卖家中心”，进入卖家工作台操作页面。工作台</w:t>
      </w:r>
      <w:r>
        <w:rPr>
          <w:rFonts w:hint="default"/>
          <w:lang w:val="en-US" w:eastAsia="zh-CN"/>
        </w:rPr>
        <w:t>首页提供看板功能，展示</w:t>
      </w:r>
      <w:r>
        <w:rPr>
          <w:rFonts w:hint="eastAsia"/>
          <w:lang w:val="en-US" w:eastAsia="zh-CN"/>
        </w:rPr>
        <w:t>商品总览情况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商品发布流程及运维管理信息等</w:t>
      </w:r>
      <w:r>
        <w:rPr>
          <w:rFonts w:hint="default"/>
          <w:lang w:val="en-US" w:eastAsia="zh-CN"/>
        </w:rPr>
        <w:t>。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2211705"/>
            <wp:effectExtent l="0" t="0" r="9525" b="1333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bidi w:val="0"/>
        <w:ind w:leftChars="200"/>
        <w:rPr>
          <w:rFonts w:hint="default"/>
          <w:lang w:val="en-US" w:eastAsia="zh-CN"/>
        </w:rPr>
      </w:pPr>
      <w:bookmarkStart w:id="13" w:name="_Toc10663"/>
      <w:r>
        <w:rPr>
          <w:rFonts w:hint="eastAsia"/>
          <w:lang w:val="en-US" w:eastAsia="zh-CN"/>
        </w:rPr>
        <w:t>（二）商品</w:t>
      </w:r>
      <w:r>
        <w:rPr>
          <w:rFonts w:hint="default"/>
          <w:lang w:val="en-US" w:eastAsia="zh-CN"/>
        </w:rPr>
        <w:t>管理</w:t>
      </w:r>
      <w:bookmarkEnd w:id="13"/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1. </w:t>
      </w:r>
      <w:r>
        <w:rPr>
          <w:rFonts w:hint="eastAsia"/>
          <w:lang w:val="en-US" w:eastAsia="zh-CN"/>
        </w:rPr>
        <w:t>商品发布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操作路径</w:t>
      </w:r>
      <w:r>
        <w:rPr>
          <w:rFonts w:hint="eastAsia"/>
          <w:lang w:val="en-US" w:eastAsia="zh-CN"/>
        </w:rPr>
        <w:t>：商品</w:t>
      </w:r>
      <w:r>
        <w:rPr>
          <w:rFonts w:hint="default"/>
          <w:lang w:val="en-US" w:eastAsia="zh-CN"/>
        </w:rPr>
        <w:t xml:space="preserve">管理 → </w:t>
      </w:r>
      <w:r>
        <w:rPr>
          <w:rFonts w:hint="eastAsia"/>
          <w:lang w:val="en-US" w:eastAsia="zh-CN"/>
        </w:rPr>
        <w:t>商品发布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新增商品的基础信息（如品名、货号等）及销售属性（如颜色、尺寸、单位、单价等）。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重置表单：清空已编辑的信息；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保存并输入下一个：保存</w:t>
      </w:r>
      <w:r>
        <w:rPr>
          <w:rFonts w:hint="eastAsia"/>
          <w:lang w:val="en-US" w:eastAsia="zh-CN"/>
        </w:rPr>
        <w:t>已填写的商品</w:t>
      </w:r>
      <w:r>
        <w:rPr>
          <w:rFonts w:hint="default"/>
          <w:lang w:val="en-US" w:eastAsia="zh-CN"/>
        </w:rPr>
        <w:t>信息，并打开新页面继续进行商品信息的编辑；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保存并进入图片管理：进入该商品对应的图片管理页面，对商品图片进行维护；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*商品货号及SKU编码必须保证唯一性。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69230" cy="1797685"/>
            <wp:effectExtent l="0" t="0" r="7620" b="12065"/>
            <wp:docPr id="2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66690" cy="2065020"/>
            <wp:effectExtent l="0" t="0" r="10160" b="11430"/>
            <wp:docPr id="2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进入图片管理页面，若勾选“不同SKU商品采用相同的图片”，则只需上传一组主图与海报图，若未勾选该选项，则按照一个SKU对应一组主图与海报图的方式上传图片。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572385"/>
            <wp:effectExtent l="0" t="0" r="4445" b="18415"/>
            <wp:docPr id="3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2. </w:t>
      </w:r>
      <w:r>
        <w:rPr>
          <w:rFonts w:hint="eastAsia"/>
          <w:lang w:val="en-US" w:eastAsia="zh-CN"/>
        </w:rPr>
        <w:t>商品信息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操作路径：</w:t>
      </w:r>
      <w:r>
        <w:rPr>
          <w:rFonts w:hint="eastAsia"/>
          <w:lang w:val="en-US" w:eastAsia="zh-CN"/>
        </w:rPr>
        <w:t>商品管理</w:t>
      </w:r>
      <w:r>
        <w:rPr>
          <w:rFonts w:hint="default"/>
          <w:lang w:val="en-US" w:eastAsia="zh-CN"/>
        </w:rPr>
        <w:t xml:space="preserve"> → </w:t>
      </w:r>
      <w:r>
        <w:rPr>
          <w:rFonts w:hint="eastAsia"/>
          <w:lang w:val="en-US" w:eastAsia="zh-CN"/>
        </w:rPr>
        <w:t>商品信息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商品信息页面支持对商品的修改、图片管理、上架等操作。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新增录入完成的商品为暂存状态，需将该商品提交给县市区</w:t>
      </w:r>
      <w:bookmarkStart w:id="16" w:name="_GoBack"/>
      <w:bookmarkEnd w:id="16"/>
      <w:r>
        <w:rPr>
          <w:rFonts w:hint="eastAsia"/>
          <w:lang w:val="en-US" w:eastAsia="zh-CN"/>
        </w:rPr>
        <w:t>管理员或平台管理员进行审核。提交后的商品为待审核状态，待审核时不可对商品的信息进行更改。审核通过的商品才可上架至平台展示。审核通过后的商品若再次进行编辑，则需再次提交审核。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67325" cy="2146935"/>
            <wp:effectExtent l="0" t="0" r="5715" b="190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bidi w:val="0"/>
        <w:ind w:leftChars="200"/>
        <w:rPr>
          <w:rFonts w:hint="default"/>
          <w:lang w:val="en-US" w:eastAsia="zh-CN"/>
        </w:rPr>
      </w:pPr>
      <w:bookmarkStart w:id="14" w:name="_Toc7191"/>
      <w:r>
        <w:rPr>
          <w:rFonts w:hint="eastAsia"/>
          <w:lang w:val="en-US" w:eastAsia="zh-CN"/>
        </w:rPr>
        <w:t>（三）批量导入管理</w:t>
      </w:r>
      <w:bookmarkEnd w:id="14"/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 商品导入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操作路径：</w:t>
      </w:r>
      <w:r>
        <w:rPr>
          <w:rFonts w:hint="eastAsia"/>
          <w:lang w:val="en-US" w:eastAsia="zh-CN"/>
        </w:rPr>
        <w:t>批量导入</w:t>
      </w:r>
      <w:r>
        <w:rPr>
          <w:rFonts w:hint="default"/>
          <w:lang w:val="en-US" w:eastAsia="zh-CN"/>
        </w:rPr>
        <w:t xml:space="preserve">管理 → </w:t>
      </w:r>
      <w:r>
        <w:rPr>
          <w:rFonts w:hint="eastAsia"/>
          <w:lang w:val="en-US" w:eastAsia="zh-CN"/>
        </w:rPr>
        <w:t>商品</w:t>
      </w:r>
      <w:r>
        <w:rPr>
          <w:rFonts w:hint="default"/>
          <w:lang w:val="en-US" w:eastAsia="zh-CN"/>
        </w:rPr>
        <w:t>导入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模板规范：下载模板后按字段填写，必填项包括SKU（唯一值）、商品名称、参考价格等。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导入流程：选择关联企业后上传文件，系统校验通过后同步至商品管理列表。同一SPU的商品将合并展示。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1212850"/>
            <wp:effectExtent l="0" t="0" r="8255" b="635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 商品图片导入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操作路径：</w:t>
      </w:r>
      <w:r>
        <w:rPr>
          <w:rFonts w:hint="eastAsia"/>
          <w:lang w:val="en-US" w:eastAsia="zh-CN"/>
        </w:rPr>
        <w:t>批量导入</w:t>
      </w:r>
      <w:r>
        <w:rPr>
          <w:rFonts w:hint="default"/>
          <w:lang w:val="en-US" w:eastAsia="zh-CN"/>
        </w:rPr>
        <w:t xml:space="preserve">管理 → </w:t>
      </w:r>
      <w:r>
        <w:rPr>
          <w:rFonts w:hint="eastAsia"/>
          <w:lang w:val="en-US" w:eastAsia="zh-CN"/>
        </w:rPr>
        <w:t>商品</w:t>
      </w:r>
      <w:r>
        <w:rPr>
          <w:rFonts w:hint="default"/>
          <w:lang w:val="en-US" w:eastAsia="zh-CN"/>
        </w:rPr>
        <w:t>图片导入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文件规范：压缩包需按SKU文件夹分类，子文件夹命名为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主图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和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海报图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（如：SKU19765/主图）。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上传与校验：选择企业后上传压缩包，系统校验文件夹结构，失败时可下载错误详情修正。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1584325"/>
            <wp:effectExtent l="0" t="0" r="13970" b="1587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bidi w:val="0"/>
        <w:ind w:leftChars="200"/>
        <w:rPr>
          <w:rFonts w:hint="eastAsia"/>
          <w:lang w:val="en-US" w:eastAsia="zh-CN"/>
        </w:rPr>
      </w:pPr>
      <w:bookmarkStart w:id="15" w:name="_Toc1392"/>
      <w:r>
        <w:rPr>
          <w:rFonts w:hint="eastAsia"/>
          <w:lang w:val="en-US" w:eastAsia="zh-CN"/>
        </w:rPr>
        <w:t>（四）厂商管理</w:t>
      </w:r>
      <w:bookmarkEnd w:id="15"/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1. </w:t>
      </w:r>
      <w:r>
        <w:rPr>
          <w:rFonts w:hint="eastAsia"/>
          <w:lang w:val="en-US" w:eastAsia="zh-CN"/>
        </w:rPr>
        <w:t>厂商资料管理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操作路径：厂商管理 → 厂商资料管理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可修改本企业资料信息。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3675" cy="1768475"/>
            <wp:effectExtent l="0" t="0" r="3175" b="3175"/>
            <wp:docPr id="3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 xml:space="preserve">. </w:t>
      </w:r>
      <w:r>
        <w:rPr>
          <w:rFonts w:hint="eastAsia"/>
          <w:lang w:val="en-US" w:eastAsia="zh-CN"/>
        </w:rPr>
        <w:t>店铺信息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操作路径：厂商管理 → </w:t>
      </w:r>
      <w:r>
        <w:rPr>
          <w:rFonts w:hint="eastAsia"/>
          <w:lang w:val="en-US" w:eastAsia="zh-CN"/>
        </w:rPr>
        <w:t>店铺信息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可编辑店铺资料信息，管理店铺开业状态、编辑展示图片等。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6055" cy="1799590"/>
            <wp:effectExtent l="0" t="0" r="10795" b="10160"/>
            <wp:docPr id="3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2038350"/>
            <wp:effectExtent l="0" t="0" r="6350" b="0"/>
            <wp:docPr id="3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 xml:space="preserve">. </w:t>
      </w:r>
      <w:r>
        <w:rPr>
          <w:rFonts w:hint="eastAsia"/>
          <w:lang w:val="en-US" w:eastAsia="zh-CN"/>
        </w:rPr>
        <w:t>询盘管理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操作路径：厂商管理 → </w:t>
      </w:r>
      <w:r>
        <w:rPr>
          <w:rFonts w:hint="eastAsia"/>
          <w:lang w:val="en-US" w:eastAsia="zh-CN"/>
        </w:rPr>
        <w:t>询盘管理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接收客商的询盘并与客商进行沟通。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跟进：供应商企业用户可编辑跟进信息发送给到客商。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查看详情：查看询盘详细信息，包括客商名称、商品名称、规格属性、单价、数量等信息。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撮合记录：点击可查看询盘跟进的过程日志，包括客商的跟进询盘、供应商的跟进回复等双方提交的信息及内容。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结束询盘：供应商企业用户可选中询盘记录单据进行关闭，关闭后的询盘记录将不再支持操作。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1758950"/>
            <wp:effectExtent l="0" t="0" r="4445" b="12700"/>
            <wp:docPr id="3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ar(--yb-font-body-medium)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051BA8"/>
    <w:multiLevelType w:val="singleLevel"/>
    <w:tmpl w:val="0A051BA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3OTM0ODU4NmU5OWY5ZTZlNDhkZTc4YTJkYzFhZTAifQ=="/>
  </w:docVars>
  <w:rsids>
    <w:rsidRoot w:val="75B44FBA"/>
    <w:rsid w:val="000F1EFB"/>
    <w:rsid w:val="01845F69"/>
    <w:rsid w:val="01F114A6"/>
    <w:rsid w:val="02497D3B"/>
    <w:rsid w:val="027B46D5"/>
    <w:rsid w:val="034F3588"/>
    <w:rsid w:val="04F25640"/>
    <w:rsid w:val="07017D69"/>
    <w:rsid w:val="07FC3E74"/>
    <w:rsid w:val="0929135C"/>
    <w:rsid w:val="09A03DAA"/>
    <w:rsid w:val="0A3A317C"/>
    <w:rsid w:val="0A6258A8"/>
    <w:rsid w:val="0AB35B63"/>
    <w:rsid w:val="0AF66A0C"/>
    <w:rsid w:val="0B4D7D49"/>
    <w:rsid w:val="0BBF7122"/>
    <w:rsid w:val="0D493799"/>
    <w:rsid w:val="0DDD17FF"/>
    <w:rsid w:val="0E16722B"/>
    <w:rsid w:val="0F6A69DA"/>
    <w:rsid w:val="100A7E2A"/>
    <w:rsid w:val="12AC0CCA"/>
    <w:rsid w:val="13612A47"/>
    <w:rsid w:val="13854144"/>
    <w:rsid w:val="144B78A7"/>
    <w:rsid w:val="14C06253"/>
    <w:rsid w:val="16AB2654"/>
    <w:rsid w:val="17446E2B"/>
    <w:rsid w:val="186407CC"/>
    <w:rsid w:val="186B3909"/>
    <w:rsid w:val="188903F1"/>
    <w:rsid w:val="189A735D"/>
    <w:rsid w:val="1A667DE2"/>
    <w:rsid w:val="1C541A06"/>
    <w:rsid w:val="1D570A0D"/>
    <w:rsid w:val="1DB8698F"/>
    <w:rsid w:val="1E262E23"/>
    <w:rsid w:val="1E6D18B0"/>
    <w:rsid w:val="1E8F2158"/>
    <w:rsid w:val="1F1364AF"/>
    <w:rsid w:val="1FCE7FFF"/>
    <w:rsid w:val="2018116E"/>
    <w:rsid w:val="202C3EC3"/>
    <w:rsid w:val="21016490"/>
    <w:rsid w:val="230A01C2"/>
    <w:rsid w:val="24B4184B"/>
    <w:rsid w:val="24B94F4B"/>
    <w:rsid w:val="275B0CE7"/>
    <w:rsid w:val="27F75178"/>
    <w:rsid w:val="28404221"/>
    <w:rsid w:val="28DC1290"/>
    <w:rsid w:val="295522D1"/>
    <w:rsid w:val="2B77511C"/>
    <w:rsid w:val="2C8955DD"/>
    <w:rsid w:val="2D045C82"/>
    <w:rsid w:val="2D5E18C3"/>
    <w:rsid w:val="2E206261"/>
    <w:rsid w:val="2F595531"/>
    <w:rsid w:val="305F068C"/>
    <w:rsid w:val="31213CAA"/>
    <w:rsid w:val="3215767E"/>
    <w:rsid w:val="33B75E9F"/>
    <w:rsid w:val="352B197A"/>
    <w:rsid w:val="35C70F7D"/>
    <w:rsid w:val="37DF3574"/>
    <w:rsid w:val="38EB045F"/>
    <w:rsid w:val="39F06C32"/>
    <w:rsid w:val="3A5066AD"/>
    <w:rsid w:val="3B084DFB"/>
    <w:rsid w:val="3B6C17DB"/>
    <w:rsid w:val="3EB313ED"/>
    <w:rsid w:val="3EB968CD"/>
    <w:rsid w:val="3F09723D"/>
    <w:rsid w:val="421535E9"/>
    <w:rsid w:val="42BA0E65"/>
    <w:rsid w:val="439B2A45"/>
    <w:rsid w:val="43B67EE8"/>
    <w:rsid w:val="446C0B6C"/>
    <w:rsid w:val="44CB096E"/>
    <w:rsid w:val="44F94F38"/>
    <w:rsid w:val="45277CB9"/>
    <w:rsid w:val="45346513"/>
    <w:rsid w:val="45525385"/>
    <w:rsid w:val="479A389F"/>
    <w:rsid w:val="47E27646"/>
    <w:rsid w:val="48985BB7"/>
    <w:rsid w:val="492139EC"/>
    <w:rsid w:val="4AAE5753"/>
    <w:rsid w:val="4C03113E"/>
    <w:rsid w:val="4FF44B94"/>
    <w:rsid w:val="510B7A55"/>
    <w:rsid w:val="52B83584"/>
    <w:rsid w:val="55902919"/>
    <w:rsid w:val="55CB0D1D"/>
    <w:rsid w:val="565D6FBA"/>
    <w:rsid w:val="585B6812"/>
    <w:rsid w:val="5A2F3A8F"/>
    <w:rsid w:val="5ADF3046"/>
    <w:rsid w:val="5B3A5146"/>
    <w:rsid w:val="5B49536B"/>
    <w:rsid w:val="5C4B0F9F"/>
    <w:rsid w:val="5C7A7BC3"/>
    <w:rsid w:val="5C8568DF"/>
    <w:rsid w:val="5F3F0BB9"/>
    <w:rsid w:val="60765A89"/>
    <w:rsid w:val="60BF0073"/>
    <w:rsid w:val="61025A59"/>
    <w:rsid w:val="629D37BB"/>
    <w:rsid w:val="63034984"/>
    <w:rsid w:val="63491372"/>
    <w:rsid w:val="646C19F5"/>
    <w:rsid w:val="6625745C"/>
    <w:rsid w:val="69AE49D0"/>
    <w:rsid w:val="69F85797"/>
    <w:rsid w:val="6A9A5C09"/>
    <w:rsid w:val="6B416486"/>
    <w:rsid w:val="6B662AA2"/>
    <w:rsid w:val="6BEE5E4B"/>
    <w:rsid w:val="6D986680"/>
    <w:rsid w:val="6DE94DF1"/>
    <w:rsid w:val="6E57007A"/>
    <w:rsid w:val="6EC57541"/>
    <w:rsid w:val="6ED910FB"/>
    <w:rsid w:val="6EED4805"/>
    <w:rsid w:val="6FA75DE5"/>
    <w:rsid w:val="71241736"/>
    <w:rsid w:val="72370CB6"/>
    <w:rsid w:val="73037D03"/>
    <w:rsid w:val="73B26360"/>
    <w:rsid w:val="73E57C39"/>
    <w:rsid w:val="7500026F"/>
    <w:rsid w:val="75541999"/>
    <w:rsid w:val="75B44FBA"/>
    <w:rsid w:val="77404266"/>
    <w:rsid w:val="78DD0C76"/>
    <w:rsid w:val="7A77434B"/>
    <w:rsid w:val="7C092437"/>
    <w:rsid w:val="7DBF7A06"/>
    <w:rsid w:val="7F07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Theme="minorAscii" w:hAnsiTheme="minorAsci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楷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2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1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character" w:customStyle="1" w:styleId="12">
    <w:name w:val="标题 4 Char"/>
    <w:link w:val="5"/>
    <w:qFormat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2031</Words>
  <Characters>2066</Characters>
  <Lines>0</Lines>
  <Paragraphs>0</Paragraphs>
  <TotalTime>18</TotalTime>
  <ScaleCrop>false</ScaleCrop>
  <LinksUpToDate>false</LinksUpToDate>
  <CharactersWithSpaces>2139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2025-07-15T02:03:00Z</dcterms:created>
  <dc:creator>黄雅纯</dc:creator>
  <cp:lastModifiedBy>卡西莫多</cp:lastModifiedBy>
  <dcterms:modified xsi:type="dcterms:W3CDTF">2026-01-26T09:30:55Z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2661C489736B494AB8026C2C9BB928FE_13</vt:lpwstr>
  </property>
</Properties>
</file>